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F1" w:rsidRPr="00CE61F1" w:rsidRDefault="00CE61F1" w:rsidP="009C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9C66AB" w:rsidRDefault="009C66AB" w:rsidP="009C66AB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CE61F1" w:rsidRDefault="009C66AB" w:rsidP="009C66AB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CE61F1" w:rsidRPr="00CE61F1" w:rsidRDefault="00CE61F1" w:rsidP="009C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CE61F1" w:rsidRDefault="007426DA" w:rsidP="009C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</w:t>
      </w:r>
      <w:r w:rsidR="00CE61F1"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E61F1" w:rsidRPr="00CE61F1" w:rsidRDefault="00CE61F1" w:rsidP="009C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CE61F1" w:rsidRDefault="00CE61F1" w:rsidP="009C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E61F1" w:rsidRPr="00CE61F1" w:rsidRDefault="00CE61F1" w:rsidP="009C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CE61F1" w:rsidRDefault="009C66AB" w:rsidP="009C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17.12.</w:t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426D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CE61F1" w:rsidRPr="00CE61F1" w:rsidRDefault="00CE61F1" w:rsidP="009C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8E" w:rsidRDefault="00CE61F1" w:rsidP="009C6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="00CE018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</w:t>
      </w: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CE0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</w:t>
      </w: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</w:t>
      </w:r>
    </w:p>
    <w:p w:rsidR="00CE018E" w:rsidRDefault="00CE61F1" w:rsidP="009C6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Стратегии </w:t>
      </w:r>
      <w:proofErr w:type="gramStart"/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социально-экономического</w:t>
      </w:r>
      <w:proofErr w:type="gramEnd"/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018E" w:rsidRDefault="00CE61F1" w:rsidP="009C6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развития Ханты-Мансийского района </w:t>
      </w:r>
    </w:p>
    <w:p w:rsidR="00CE61F1" w:rsidRPr="00CE018E" w:rsidRDefault="00CE61F1" w:rsidP="009C6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>до 2030 года в 2020 году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1F1" w:rsidRPr="00CE61F1" w:rsidRDefault="00CE61F1" w:rsidP="009C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</w:t>
      </w: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>о реализации Стратегии социально-экономического развития Ханты-Мансийского района до 2030 года в 2020 году</w:t>
      </w:r>
      <w:r w:rsidRPr="00CE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частью 1 статьи 31 Устава Ханты-Мансийского района,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1F1" w:rsidRPr="00CE61F1" w:rsidRDefault="00CE61F1" w:rsidP="009C66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CE61F1" w:rsidRPr="00CE61F1" w:rsidRDefault="00CE61F1" w:rsidP="009C66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CE61F1" w:rsidRDefault="00CE61F1" w:rsidP="009C66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E61F1" w:rsidRPr="00CE61F1" w:rsidRDefault="00CE61F1" w:rsidP="009C66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CE61F1" w:rsidRDefault="00CE61F1" w:rsidP="009C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</w:t>
      </w: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>о реализации Стратегии социально-экономического развития Ханты-Мансийского района до 2030 года в 2020 году согласно приложению к настоящему решению.</w:t>
      </w:r>
    </w:p>
    <w:p w:rsidR="00CE61F1" w:rsidRPr="00CE61F1" w:rsidRDefault="00CE61F1" w:rsidP="009C6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B4" w:rsidRDefault="00F600B4" w:rsidP="009C6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6AB" w:rsidRPr="009C66AB" w:rsidRDefault="009C66AB" w:rsidP="009C66AB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9C66AB" w:rsidRPr="009C66AB" w:rsidRDefault="009C66AB" w:rsidP="009C66AB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9C6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6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6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6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6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6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66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Данилова</w:t>
      </w:r>
    </w:p>
    <w:p w:rsidR="009C66AB" w:rsidRPr="009C66AB" w:rsidRDefault="007426DA" w:rsidP="009C66AB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23.12.2021</w:t>
      </w:r>
    </w:p>
    <w:p w:rsidR="009C66AB" w:rsidRDefault="009C66AB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66AB" w:rsidRDefault="009C66AB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66AB" w:rsidRDefault="009C66AB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66AB" w:rsidRDefault="009C66AB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66AB" w:rsidRDefault="009C66AB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66AB" w:rsidRDefault="009C66AB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66AB" w:rsidRDefault="009C66AB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66AB" w:rsidRDefault="009C66AB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66AB" w:rsidRDefault="009C66AB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66AB" w:rsidRDefault="009C66AB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C66AB" w:rsidRDefault="009C66AB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1F1" w:rsidRPr="00CE61F1" w:rsidRDefault="00CE61F1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CE61F1" w:rsidRPr="00CE61F1" w:rsidRDefault="00AB3CB9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:rsidR="00CE61F1" w:rsidRPr="00CE61F1" w:rsidRDefault="00AB3CB9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E61F1" w:rsidRPr="00CE61F1" w:rsidRDefault="00CE61F1" w:rsidP="009C66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B3CB9">
        <w:rPr>
          <w:rFonts w:ascii="Times New Roman" w:eastAsia="Calibri" w:hAnsi="Times New Roman" w:cs="Times New Roman"/>
          <w:sz w:val="28"/>
          <w:szCs w:val="28"/>
        </w:rPr>
        <w:t>17.12.</w:t>
      </w:r>
      <w:r w:rsidRPr="00CE61F1">
        <w:rPr>
          <w:rFonts w:ascii="Times New Roman" w:eastAsia="Calibri" w:hAnsi="Times New Roman" w:cs="Times New Roman"/>
          <w:sz w:val="28"/>
          <w:szCs w:val="28"/>
        </w:rPr>
        <w:t>2021 №</w:t>
      </w:r>
      <w:r w:rsidR="00AB3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6DA">
        <w:rPr>
          <w:rFonts w:ascii="Times New Roman" w:eastAsia="Calibri" w:hAnsi="Times New Roman" w:cs="Times New Roman"/>
          <w:sz w:val="28"/>
          <w:szCs w:val="28"/>
        </w:rPr>
        <w:t>32</w:t>
      </w:r>
    </w:p>
    <w:p w:rsidR="00CE61F1" w:rsidRPr="00CE61F1" w:rsidRDefault="00CE61F1" w:rsidP="009C66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CB9" w:rsidRDefault="00CE018E" w:rsidP="009C66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</w:t>
      </w:r>
    </w:p>
    <w:p w:rsidR="00CE61F1" w:rsidRPr="00CE61F1" w:rsidRDefault="00CE018E" w:rsidP="009C66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ходе</w:t>
      </w:r>
      <w:r w:rsidR="00CE61F1"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Стратегии социально-экономического развития</w:t>
      </w:r>
    </w:p>
    <w:p w:rsidR="00CE61F1" w:rsidRPr="00CE61F1" w:rsidRDefault="00CE61F1" w:rsidP="009C6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до 2030 года в 2020 году</w:t>
      </w:r>
    </w:p>
    <w:p w:rsidR="00CE61F1" w:rsidRPr="00CE61F1" w:rsidRDefault="00CE61F1" w:rsidP="009C66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1F1" w:rsidRPr="00CE61F1" w:rsidRDefault="00CE61F1" w:rsidP="009C66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Общая информация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Ханты-Мансийского района до 2030 года (далее – Стратегия) утверждена </w:t>
      </w:r>
      <w:r w:rsidRPr="00CE61F1">
        <w:rPr>
          <w:rFonts w:ascii="Times New Roman" w:eastAsia="Calibri" w:hAnsi="Times New Roman" w:cs="Times New Roman"/>
          <w:sz w:val="28"/>
          <w:szCs w:val="28"/>
        </w:rPr>
        <w:t>решением Думы Ханты-Мансийского района от 21.09.2018 № 341 «Об утверждении стратегии социально-экономического развития Ханты-Ман</w:t>
      </w:r>
      <w:r w:rsidR="00AB3CB9">
        <w:rPr>
          <w:rFonts w:ascii="Times New Roman" w:eastAsia="Calibri" w:hAnsi="Times New Roman" w:cs="Times New Roman"/>
          <w:sz w:val="28"/>
          <w:szCs w:val="28"/>
        </w:rPr>
        <w:t xml:space="preserve">сийского района до 2030 года». </w:t>
      </w:r>
    </w:p>
    <w:p w:rsidR="00CE61F1" w:rsidRPr="00CE61F1" w:rsidRDefault="00AB3CB9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Стратегии </w:t>
      </w:r>
      <w:r w:rsidR="00CE61F1" w:rsidRPr="00CE61F1">
        <w:rPr>
          <w:rFonts w:ascii="Times New Roman" w:eastAsia="Calibri" w:hAnsi="Times New Roman" w:cs="Times New Roman"/>
          <w:sz w:val="28"/>
          <w:szCs w:val="28"/>
        </w:rPr>
        <w:t>утвержден  План мероприятий по реализации Стратегии социально-экономического развития Ханты-Мансийского района до 2030 года, в котором определены целевые показатели, характеризующие результаты реализации.</w:t>
      </w:r>
    </w:p>
    <w:p w:rsidR="00CE61F1" w:rsidRPr="00CE61F1" w:rsidRDefault="00CE61F1" w:rsidP="009C6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Стратегическая цель – </w:t>
      </w:r>
      <w:r w:rsidRPr="00CE61F1">
        <w:rPr>
          <w:rFonts w:ascii="Times New Roman" w:eastAsia="Calibri" w:hAnsi="Times New Roman" w:cs="Times New Roman"/>
          <w:bCs/>
          <w:sz w:val="28"/>
          <w:szCs w:val="28"/>
        </w:rPr>
        <w:t>повышение уровня жизни населения на основе эффективного использования ресурсов и сбалансированного развития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разбивается на два блока:</w:t>
      </w:r>
    </w:p>
    <w:p w:rsidR="00CE61F1" w:rsidRPr="00CE61F1" w:rsidRDefault="00CE61F1" w:rsidP="009C6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bCs/>
          <w:sz w:val="28"/>
          <w:szCs w:val="28"/>
        </w:rPr>
        <w:t>устойчивое развитие экономики района</w:t>
      </w: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E61F1" w:rsidRPr="00CE61F1" w:rsidRDefault="00CE61F1" w:rsidP="009C6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bCs/>
          <w:sz w:val="28"/>
          <w:szCs w:val="28"/>
        </w:rPr>
        <w:t>развитие человеческого капитала и социальной сферы</w:t>
      </w: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нацелена на устойчивое и эффективное социально-экономическое развитие района. 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Основным инструментом, обеспечивающим реализацию социально-экономического развития Ханты-Мансийского района, являются муниципальные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61F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В 2020 году на территории района </w:t>
      </w:r>
      <w:r w:rsidRPr="00CE61F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осуществлялась реализация 22 муниципальных программ</w:t>
      </w:r>
      <w:r w:rsidRPr="00CE61F1">
        <w:rPr>
          <w:rFonts w:ascii="Times New Roman" w:eastAsia="+mn-ea" w:hAnsi="Times New Roman" w:cs="+mn-cs"/>
          <w:color w:val="000000"/>
          <w:kern w:val="24"/>
          <w:sz w:val="28"/>
          <w:szCs w:val="28"/>
          <w:lang w:eastAsia="ru-RU"/>
        </w:rPr>
        <w:t xml:space="preserve"> с общим объемом финансирования </w:t>
      </w:r>
      <w:r w:rsidRPr="00CE61F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4 578,3 млн. рублей или 95,8 % всех расходов бюджета района, в том числе из федерального бюджета – 20,0 млн. рублей (0,4% от общего объема финансирования), из бюджета автономного округа – 1 813,7 млн. рублей (39,6 % от общего объема финансирования), из бюджета района – 2 744,6 млн. рублей (59,9</w:t>
      </w:r>
      <w:proofErr w:type="gramEnd"/>
      <w:r w:rsidRPr="00CE61F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% от общего объема финансирования).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Реализация программ направлена на улучшение социальной защиты населения, создание новых рабочих мест, развитие человеческого капитала за счет повышения эффективности и качества системы образования, улучшение жилищных условий, развитие рыночной инфраструктуры, а также на повышение инвестиционной привлекательности экономики Ханты-Мансийского района. </w:t>
      </w:r>
    </w:p>
    <w:p w:rsidR="00CE61F1" w:rsidRPr="00CE61F1" w:rsidRDefault="00CE61F1" w:rsidP="00AB3CB9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CE61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Анализ достижения плановых значений показателей, определенных Стратегией, показал, что из 34 показателей положительная динамика </w:t>
      </w:r>
      <w:r w:rsidR="003441F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сложилась</w:t>
      </w:r>
      <w:r w:rsidR="00325BB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441F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по </w:t>
      </w:r>
      <w:r w:rsidR="00325BB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21</w:t>
      </w:r>
      <w:r w:rsidRPr="00CE61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(Приложение 1). </w:t>
      </w:r>
    </w:p>
    <w:p w:rsidR="00CE61F1" w:rsidRPr="00CE61F1" w:rsidRDefault="003441FE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2020 году 11</w:t>
      </w:r>
      <w:r w:rsidR="00CE61F1" w:rsidRPr="00CE61F1">
        <w:rPr>
          <w:rFonts w:ascii="Times New Roman" w:eastAsia="Calibri" w:hAnsi="Times New Roman" w:cs="Times New Roman"/>
          <w:sz w:val="28"/>
          <w:szCs w:val="28"/>
        </w:rPr>
        <w:t xml:space="preserve"> целевых показателей </w:t>
      </w:r>
      <w:proofErr w:type="gramStart"/>
      <w:r w:rsidR="00CE61F1" w:rsidRPr="00CE61F1">
        <w:rPr>
          <w:rFonts w:ascii="Times New Roman" w:eastAsia="Calibri" w:hAnsi="Times New Roman" w:cs="Times New Roman"/>
          <w:sz w:val="28"/>
          <w:szCs w:val="28"/>
        </w:rPr>
        <w:t>достигли</w:t>
      </w:r>
      <w:proofErr w:type="gramEnd"/>
      <w:r w:rsidR="00CE61F1" w:rsidRPr="00CE61F1">
        <w:rPr>
          <w:rFonts w:ascii="Times New Roman" w:eastAsia="Calibri" w:hAnsi="Times New Roman" w:cs="Times New Roman"/>
          <w:sz w:val="28"/>
          <w:szCs w:val="28"/>
        </w:rPr>
        <w:t>/превысили плановые значения, установленные Стратегией к 2030 году.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Целевой блок 1 «Устойчивое развитие экономики района»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Промышленность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 товаров и услуг по всем видам экономической деятельности в 2020 году сложился в объеме 416 786,6 млн. рублей.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долю промышленности в структуре экономики района приходится 98,9% или 412 201,9 млн. рублей, что выше целевого значения показателя Стратегии за 2020 год на 9,5 % (376 474,8 млн. рублей).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1F1" w:rsidRDefault="007B395A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предварительным данным, объем отгруженных товаров собственного производства, выполненных работ и услуг собстве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силами за 2021 год сложит</w:t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объёме 457 329,6 млн. рублей. </w:t>
      </w:r>
    </w:p>
    <w:p w:rsidR="007B395A" w:rsidRPr="00CE61F1" w:rsidRDefault="007B395A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61F1" w:rsidRPr="00AB3CB9" w:rsidRDefault="00CE61F1" w:rsidP="007B39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</w:t>
      </w:r>
    </w:p>
    <w:p w:rsidR="00CE61F1" w:rsidRPr="00CE61F1" w:rsidRDefault="00CE61F1" w:rsidP="009C66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добычи полезных ископаемых составил 407 112,3 млн. рублей, что выше целевого значения показателя </w:t>
      </w:r>
      <w:r w:rsidRPr="00CE6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Стратегии за 2020 год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9,4 % (372 175,5 млн. рублей).</w:t>
      </w:r>
    </w:p>
    <w:p w:rsidR="00CE61F1" w:rsidRPr="00CE61F1" w:rsidRDefault="00CE61F1" w:rsidP="009C66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добычи полезных ископаемых в структуре промышленного производства составляет 98,8 %. </w:t>
      </w:r>
    </w:p>
    <w:p w:rsidR="00CE61F1" w:rsidRPr="00CE61F1" w:rsidRDefault="00CE61F1" w:rsidP="009C66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на территории Ханты-Мансийского района добычу нефти и газа осуществляли 5 нефтегазодобывающих компаний. </w:t>
      </w:r>
    </w:p>
    <w:p w:rsidR="00CE61F1" w:rsidRPr="00CE61F1" w:rsidRDefault="007B395A" w:rsidP="009C66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оперативным данным Д</w:t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недропользования и природных ресурсов Ханты-Мансийского автономного округа – Югры суммарно извлекаемые запасы нефти составили 41,09 млн. тонн. </w:t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Сокращение добычи нефти в 2020 году обусловлено выполнением соглашения о сокращении добычи со странами ОПЕК+, действие соглашения продлится до мая 2022 года.</w:t>
      </w:r>
    </w:p>
    <w:p w:rsidR="00CE61F1" w:rsidRPr="00CE61F1" w:rsidRDefault="00CE61F1" w:rsidP="009C66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Лидерами по добыче нефти на территории района за отчетный период остаются ПАО «НК «Роснефть» – 26,9 млн. тонн (65,4 % от общего объема добытой нефти); ПАО «</w:t>
      </w:r>
      <w:proofErr w:type="spellStart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</w:t>
      </w:r>
      <w:proofErr w:type="spellEnd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9,95 млн. тонн (24,2 % от общего объема добытой нефти).</w:t>
      </w:r>
    </w:p>
    <w:p w:rsidR="00CE61F1" w:rsidRPr="00CE61F1" w:rsidRDefault="00CE61F1" w:rsidP="009C66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природного газа, извлеченного из недр на территории Ханты-Мансийского района за 2020 год, по данным Департамента недропользования и природных ресурсов Ханты-Мансийского автономного округа – Югры составил 4 367,5 млн. куб. м.</w:t>
      </w:r>
    </w:p>
    <w:p w:rsidR="00CE61F1" w:rsidRPr="00CE61F1" w:rsidRDefault="00CE61F1" w:rsidP="009C66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наибольшие об</w:t>
      </w:r>
      <w:r w:rsidR="007B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ъемы газа добыты предприятиями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«НК «Роснефть» – 2 988,66 млн. куб. м (68,4 % </w:t>
      </w:r>
      <w:r w:rsidR="007B3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добытого газа),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</w:t>
      </w:r>
      <w:proofErr w:type="spellStart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</w:t>
      </w:r>
      <w:proofErr w:type="spellEnd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1 125,1 млн. куб. м (25,8 %).</w:t>
      </w:r>
    </w:p>
    <w:p w:rsidR="007B395A" w:rsidRDefault="007B395A" w:rsidP="007B39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E61F1" w:rsidRPr="007B395A" w:rsidRDefault="00CE61F1" w:rsidP="007B39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Обрабатывающие производства</w:t>
      </w:r>
    </w:p>
    <w:p w:rsidR="00CE61F1" w:rsidRPr="00CE61F1" w:rsidRDefault="00CE61F1" w:rsidP="009C66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обрабатывающей промышленности в общем объеме производства за 2020 год составила 0,4 % (1 66</w:t>
      </w:r>
      <w:r w:rsidR="007B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7,1 млн. рублей), большая </w:t>
      </w:r>
      <w:proofErr w:type="gramStart"/>
      <w:r w:rsidR="007B39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proofErr w:type="gramEnd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представлена в районе предприятиями топливно-энергетического комплекса, оказывающими услуги по монтажу, ремонту и техническому обслуживанию оборудования общего назначения нефтедобывающим предприятиям. В населенных пунктах Ханты-Мансийского района обрабатывающее производство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представлено производством хлеба, хлебобулочных изделий, выловом и переработкой рыбы малыми предприятиями и индивидуальными предпринимателями. </w:t>
      </w:r>
    </w:p>
    <w:p w:rsidR="00CE61F1" w:rsidRPr="00CE61F1" w:rsidRDefault="00CE61F1" w:rsidP="009C66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61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Общий объем выпуска хлеба, хлебобулочных и кондитерских изделий предприятиями всех форм собственности района за 2020 год составил 609,4 тонн, что составляет 85,7 % к аналогичному показателю прошлого года (2019 год – 711,5 тонн). </w:t>
      </w:r>
    </w:p>
    <w:p w:rsidR="00CE61F1" w:rsidRPr="00CE61F1" w:rsidRDefault="00CE61F1" w:rsidP="009C66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61F1">
        <w:rPr>
          <w:rFonts w:ascii="Times New Roman" w:eastAsia="Calibri" w:hAnsi="Times New Roman" w:cs="Times New Roman"/>
          <w:sz w:val="28"/>
          <w:szCs w:val="28"/>
          <w:lang w:eastAsia="zh-CN"/>
        </w:rPr>
        <w:t>Снижение производства хлеба и хлебобулочной продукции в отчетном году на 14,3 % по сравнению с аналогичным показателем 2019 года вызвано тем, что часть продукции хлебопечения завозится из-за пределов Ханты-Мансийского района (г. Ханты-Мансийск, г. Сургут), а часть производится населением района самостоятельно.</w:t>
      </w:r>
    </w:p>
    <w:p w:rsidR="007B395A" w:rsidRDefault="007B395A" w:rsidP="007B39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1F1" w:rsidRPr="007B395A" w:rsidRDefault="00CE61F1" w:rsidP="007B39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электрической энергией, газом и п</w:t>
      </w:r>
      <w:r w:rsidR="007B39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аром; кондиционирование воздуха</w:t>
      </w:r>
    </w:p>
    <w:p w:rsidR="00CE61F1" w:rsidRPr="00CE61F1" w:rsidRDefault="00CE61F1" w:rsidP="009C66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электрической энергией, газом и паром за 2020 год </w:t>
      </w:r>
      <w:r w:rsidRPr="00CE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действующих ценах сложилось в объеме 3 376,1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 или 107,6 % к аналогичному показателю прошлого года (за 2019 год – 3 136,3 млн. рублей). </w:t>
      </w:r>
    </w:p>
    <w:p w:rsidR="00CE61F1" w:rsidRPr="00CE61F1" w:rsidRDefault="00CE61F1" w:rsidP="009C66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предприятиями электроэнергетики Ханты-Мансийского района выработано электроэнергии 4 182,9 млн. кВт/</w:t>
      </w:r>
      <w:proofErr w:type="gramStart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E6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105,3 % к аналогичному показателю прошлого года (2020 год – 3 971,5 млн. кВт/час). Из общего количества произведенной электрической энергии производство электроэнергии децентрализованными электростанциями составило 12,0 млн. кВт/</w:t>
      </w:r>
      <w:proofErr w:type="gramStart"/>
      <w:r w:rsidRPr="00CE6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CE6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95,2 % к аналогичному показателю за 2019 год (12,6 млн. кВт/ч). </w:t>
      </w:r>
    </w:p>
    <w:p w:rsidR="00CE61F1" w:rsidRPr="00CE61F1" w:rsidRDefault="00CE61F1" w:rsidP="009C66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состоянию на 1 января 2021 года количество генерирующих источников по Ханты-Мансийскому району составило 22 единицы, что больше уровня прошлого года на 1 единицу (на 1 января 2020 года – 21). </w:t>
      </w:r>
    </w:p>
    <w:p w:rsidR="00CE61F1" w:rsidRPr="00CE61F1" w:rsidRDefault="00CE61F1" w:rsidP="009C66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отгрузки по виду экономической деятельности «Водоснабжение; водоотведение, организация сбора и утилизации отходов, деятельность по ликвидации загрязнений» </w:t>
      </w:r>
      <w:r w:rsidRPr="00CE6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2020 году составил 46,4 млн. рублей, что в сопоставимых ценах к уровню 2019 года составляет 57,2%.</w:t>
      </w:r>
    </w:p>
    <w:p w:rsidR="00CE61F1" w:rsidRPr="00CE61F1" w:rsidRDefault="00CE61F1" w:rsidP="009C66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61F1" w:rsidRPr="00CE61F1" w:rsidRDefault="00CE61F1" w:rsidP="007B39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</w:p>
    <w:p w:rsidR="00CE61F1" w:rsidRPr="00CE61F1" w:rsidRDefault="00CE61F1" w:rsidP="009C66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Сельское хозяйство – одна из отраслей, которой традиционно занималось и занимается население Ханты-Мансийского района. На территории района развиваются практически все отрасли сельского хозяйства: растениеводство (картофелеводство, овощеводство, кормопроизводство), животноводство (молочное и мясное производство, свиноводство), птицеводство. </w:t>
      </w:r>
    </w:p>
    <w:p w:rsidR="00CE61F1" w:rsidRPr="00CE61F1" w:rsidRDefault="00CE61F1" w:rsidP="009C66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По итогам 2020 года </w:t>
      </w:r>
      <w:r w:rsidRPr="00CE61F1">
        <w:rPr>
          <w:rFonts w:ascii="Times New Roman" w:eastAsia="Calibri" w:hAnsi="Times New Roman" w:cs="Times New Roman"/>
          <w:bCs/>
          <w:kern w:val="28"/>
          <w:sz w:val="28"/>
          <w:szCs w:val="28"/>
          <w:lang w:eastAsia="zh-CN"/>
        </w:rPr>
        <w:t>предприятиями всех форм собственности (с учетом</w:t>
      </w:r>
      <w:r w:rsidRPr="00CE61F1">
        <w:rPr>
          <w:rFonts w:ascii="Times New Roman" w:eastAsia="Calibri" w:hAnsi="Times New Roman" w:cs="Times New Roman"/>
          <w:bCs/>
          <w:color w:val="FF0000"/>
          <w:kern w:val="28"/>
          <w:sz w:val="28"/>
          <w:szCs w:val="28"/>
          <w:lang w:eastAsia="zh-CN"/>
        </w:rPr>
        <w:t xml:space="preserve"> </w:t>
      </w:r>
      <w:r w:rsidRPr="00CE61F1">
        <w:rPr>
          <w:rFonts w:ascii="Times New Roman" w:eastAsia="Calibri" w:hAnsi="Times New Roman" w:cs="Times New Roman"/>
          <w:bCs/>
          <w:kern w:val="28"/>
          <w:sz w:val="28"/>
          <w:szCs w:val="28"/>
          <w:lang w:eastAsia="zh-CN"/>
        </w:rPr>
        <w:t>населения) произведено сельскох</w:t>
      </w:r>
      <w:r w:rsidR="007B395A">
        <w:rPr>
          <w:rFonts w:ascii="Times New Roman" w:eastAsia="Calibri" w:hAnsi="Times New Roman" w:cs="Times New Roman"/>
          <w:bCs/>
          <w:kern w:val="28"/>
          <w:sz w:val="28"/>
          <w:szCs w:val="28"/>
          <w:lang w:eastAsia="zh-CN"/>
        </w:rPr>
        <w:t>озяйственной продукции на сумму</w:t>
      </w:r>
      <w:r w:rsidRPr="00CE61F1">
        <w:rPr>
          <w:rFonts w:ascii="Times New Roman" w:eastAsia="Calibri" w:hAnsi="Times New Roman" w:cs="Times New Roman"/>
          <w:bCs/>
          <w:kern w:val="28"/>
          <w:sz w:val="28"/>
          <w:szCs w:val="28"/>
          <w:lang w:eastAsia="zh-CN"/>
        </w:rPr>
        <w:t xml:space="preserve"> 2 010,0</w:t>
      </w:r>
      <w:r w:rsidRPr="00CE61F1">
        <w:rPr>
          <w:rFonts w:ascii="Times New Roman" w:eastAsia="Calibri" w:hAnsi="Times New Roman" w:cs="Times New Roman"/>
          <w:bCs/>
          <w:color w:val="FF0000"/>
          <w:kern w:val="28"/>
          <w:sz w:val="28"/>
          <w:szCs w:val="28"/>
          <w:lang w:eastAsia="zh-CN"/>
        </w:rPr>
        <w:t xml:space="preserve"> </w:t>
      </w:r>
      <w:r w:rsidRPr="00CE61F1">
        <w:rPr>
          <w:rFonts w:ascii="Times New Roman" w:eastAsia="Calibri" w:hAnsi="Times New Roman" w:cs="Times New Roman"/>
          <w:bCs/>
          <w:kern w:val="28"/>
          <w:sz w:val="28"/>
          <w:szCs w:val="28"/>
          <w:lang w:eastAsia="zh-CN"/>
        </w:rPr>
        <w:t xml:space="preserve">млн. рублей, что ниже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значения показателя </w:t>
      </w:r>
      <w:r w:rsidR="007B39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Стратегии </w:t>
      </w:r>
      <w:r w:rsidRPr="00CE6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2020 год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8 % (2 185,6 млн. рублей).</w:t>
      </w:r>
    </w:p>
    <w:p w:rsidR="00CE61F1" w:rsidRPr="00CE61F1" w:rsidRDefault="00CE61F1" w:rsidP="009C66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Вместе с тем наблюдается положительная динамика по отношению к 2019 году на 1 % </w:t>
      </w:r>
      <w:r w:rsidRPr="00CE61F1">
        <w:rPr>
          <w:rFonts w:ascii="Times New Roman" w:eastAsia="Calibri" w:hAnsi="Times New Roman" w:cs="Times New Roman"/>
          <w:bCs/>
          <w:kern w:val="28"/>
          <w:sz w:val="28"/>
          <w:szCs w:val="28"/>
          <w:lang w:eastAsia="zh-CN"/>
        </w:rPr>
        <w:t>(1 990,0 млн. рублей).</w:t>
      </w:r>
      <w:r w:rsidRPr="00CE61F1">
        <w:rPr>
          <w:rFonts w:ascii="Times New Roman" w:eastAsia="Calibri" w:hAnsi="Times New Roman" w:cs="Times New Roman"/>
          <w:bCs/>
          <w:color w:val="FF0000"/>
          <w:kern w:val="28"/>
          <w:sz w:val="28"/>
          <w:szCs w:val="28"/>
        </w:rPr>
        <w:t xml:space="preserve"> </w:t>
      </w:r>
    </w:p>
    <w:p w:rsidR="00CE61F1" w:rsidRPr="00CE61F1" w:rsidRDefault="007B395A" w:rsidP="009C6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п</w:t>
      </w:r>
      <w:r w:rsidR="00CE61F1" w:rsidRPr="00CE61F1">
        <w:rPr>
          <w:rFonts w:ascii="Times New Roman" w:eastAsia="Calibri" w:hAnsi="Times New Roman" w:cs="Times New Roman"/>
          <w:sz w:val="28"/>
          <w:szCs w:val="28"/>
        </w:rPr>
        <w:t xml:space="preserve">о предварительным данным производство продукции сельского хозяйства за 2021 год достигнет 2 089,6 млн. рублей. </w:t>
      </w:r>
    </w:p>
    <w:p w:rsidR="00CE61F1" w:rsidRPr="00CE61F1" w:rsidRDefault="00CE61F1" w:rsidP="009C6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Снижение показателя связано с изменением государственных мер поддержки, в частности: снижением размеров субсидий по свиноводству, отмена субсидий за вылов рыбы.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В целях достижения показателей, установленных Стратегией до 2030 года, по предложениям администрации Ханты-Мансийского района, выработанных совместно с предпринимательским сообществом, увеличены ставки субсидий на укрепление материально-технической базы </w:t>
      </w:r>
      <w:proofErr w:type="spellStart"/>
      <w:r w:rsidRPr="00CE61F1">
        <w:rPr>
          <w:rFonts w:ascii="Times New Roman" w:eastAsia="Calibri" w:hAnsi="Times New Roman" w:cs="Times New Roman"/>
          <w:sz w:val="28"/>
          <w:szCs w:val="28"/>
        </w:rPr>
        <w:t>сельхозтоваропроизводителей</w:t>
      </w:r>
      <w:proofErr w:type="spellEnd"/>
      <w:r w:rsidRPr="00CE61F1">
        <w:rPr>
          <w:rFonts w:ascii="Times New Roman" w:eastAsia="Calibri" w:hAnsi="Times New Roman" w:cs="Times New Roman"/>
          <w:sz w:val="28"/>
          <w:szCs w:val="28"/>
        </w:rPr>
        <w:t>, предусмотрены новые меры государственной, муниципальной подде</w:t>
      </w:r>
      <w:r w:rsidR="007B395A">
        <w:rPr>
          <w:rFonts w:ascii="Times New Roman" w:eastAsia="Calibri" w:hAnsi="Times New Roman" w:cs="Times New Roman"/>
          <w:sz w:val="28"/>
          <w:szCs w:val="28"/>
        </w:rPr>
        <w:t xml:space="preserve">ржки, которые вступят в силу с </w:t>
      </w:r>
      <w:r w:rsidRPr="00CE61F1">
        <w:rPr>
          <w:rFonts w:ascii="Times New Roman" w:eastAsia="Calibri" w:hAnsi="Times New Roman" w:cs="Times New Roman"/>
          <w:sz w:val="28"/>
          <w:szCs w:val="28"/>
        </w:rPr>
        <w:t>1 января 2022 года.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1F1" w:rsidRPr="00CE61F1" w:rsidRDefault="00CE61F1" w:rsidP="009C6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Строительство</w:t>
      </w:r>
    </w:p>
    <w:p w:rsidR="00CE61F1" w:rsidRPr="00CE61F1" w:rsidRDefault="00CE61F1" w:rsidP="009C66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работ, выполненных крупными и средними предприятиями по виду деятельности «Строительство»</w:t>
      </w:r>
      <w:r w:rsidR="004254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составил 7 005,7 млн. рублей, что выше целевого значения показателя </w:t>
      </w:r>
      <w:r w:rsidR="0042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Стратегии </w:t>
      </w:r>
      <w:r w:rsidRPr="00CE6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2020 год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2,5 раза (1 956,1 млн. рублей). Данный показатель превысил плановое целевое значение, установленное Стратегией до 2030 года в 3 раза (2 170,4 млн. руб.).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данным </w:t>
      </w:r>
      <w:proofErr w:type="spellStart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Тюменьстата</w:t>
      </w:r>
      <w:proofErr w:type="spellEnd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2021 года объем работ, выполненных организациями (без субъектов малого предпринимательства, с учетом работ, выполненных хозяйственным способом), по виду экономической деятельности «строительство» сложился в объёме 4 448,5 млн. рублей.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Торговля и услуги населению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Инфраструктура розничной торговли представлена 160 объектами розничной сети. Наибольший удельный вес (более 50 процентов) приходится на магазины и павильоны со смешанным ассортиментом товаров. 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на территории сельских поселений Ханты-Мансийского района организовано и проведено 105 ярмарок, что на 77,7 % меньше, чем за 2019 год (470 ярмарок). Снижение в связи с введением режима повышенной опасности и ограничительных мер на территории Ханты-Мансийского автономного округа – Югры по предотвращению распространения </w:t>
      </w:r>
      <w:proofErr w:type="spellStart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CE6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CE61F1" w:rsidRPr="00425496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по полному кругу предприятий Ханты-Мансийского района за 2020 год составил 2 472 млн. рублей, что выше целевого значения показателя </w:t>
      </w:r>
      <w:r w:rsidRPr="0042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Стратегии – 2030 за 2020 год на 17,7 % (2 100,9 млн. рублей).</w:t>
      </w:r>
      <w:r w:rsidRPr="0042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услуги,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предоставляемые населению на территории Ханты-Мансийского района, являются результатом деятельности предприятий, организаций всех форм собственности и предназначены для удовлетворения личных потребностей населения по их заказам.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платных услуг населению, оказанных на территории района, за 2020 год составил 391,2 млн. рублей, что выше целевого значения показателя </w:t>
      </w:r>
      <w:r w:rsidRPr="00CE6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Стратегии – 2030 за 2020 год на 12,3 % (348,3 млн. рублей).</w:t>
      </w:r>
    </w:p>
    <w:p w:rsid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96" w:rsidRPr="00CE61F1" w:rsidRDefault="00425496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lastRenderedPageBreak/>
        <w:t>Инвестиции</w:t>
      </w:r>
    </w:p>
    <w:p w:rsidR="00CE61F1" w:rsidRPr="00CE61F1" w:rsidRDefault="00CE61F1" w:rsidP="009C66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продолжалась работа по формированию благоприятных условий для ведения предпринимательской деятельности и привлечения инвестиций на территорию Ханты-Мансийского района. </w:t>
      </w:r>
    </w:p>
    <w:p w:rsidR="00CE61F1" w:rsidRPr="00CE61F1" w:rsidRDefault="00CE61F1" w:rsidP="009C66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основной капитал без учета субъектов малого предпринимательства в 2020 году сложился в размере</w:t>
      </w:r>
      <w:r w:rsidRPr="00CE6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155 194,1 млн. рублей </w:t>
      </w:r>
      <w:r w:rsidRPr="00CE61F1">
        <w:rPr>
          <w:rFonts w:ascii="Times New Roman" w:eastAsia="Calibri" w:hAnsi="Times New Roman" w:cs="Times New Roman"/>
          <w:bCs/>
          <w:sz w:val="28"/>
          <w:szCs w:val="28"/>
        </w:rPr>
        <w:t>(целевой показатель Стратегии 2030 – 162 731,9 млн. рублей).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объема инвестиционных вложений 78,2% приходится на собственные средства предприятий или 121 369,1 млн. рублей, доля привлеченных средств – 21,8 % или 33 822,3 млн. рублей. </w:t>
      </w:r>
    </w:p>
    <w:p w:rsidR="00CE61F1" w:rsidRPr="00CE61F1" w:rsidRDefault="00CE61F1" w:rsidP="009C66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Инвестирование в экономику района носит </w:t>
      </w:r>
      <w:proofErr w:type="spellStart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монопрофильный</w:t>
      </w:r>
      <w:proofErr w:type="spellEnd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– 93,1% инвестируется в отрасль «Добыча полезных ископаемых» или 144 536,5 млн. рублей. Инвестиционная политика компаний данной отрасли направлена на дальнейшее развитие отрасли и ее модернизацию. </w:t>
      </w:r>
    </w:p>
    <w:p w:rsidR="00CE61F1" w:rsidRPr="00CE61F1" w:rsidRDefault="00CE61F1" w:rsidP="009C66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созданием </w:t>
      </w:r>
      <w:proofErr w:type="gramStart"/>
      <w:r w:rsidRPr="00CE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CE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комфортной среды для инвестора ведется не первый год. В целях привлечения инвестиций принят ряд нормативных правовых актов, устанавливающих основные направления участия муниципального образования в инвестиционной деятельности и регулирующих развитие малого и среднего предпринимательства на территории муниципального образования. </w:t>
      </w:r>
    </w:p>
    <w:p w:rsidR="00CE61F1" w:rsidRPr="00CE61F1" w:rsidRDefault="00CE61F1" w:rsidP="009C6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В 2020 году продолжена реализация 10 инвестиционных проектов на территории района. Общая стоимость инвестиционных проектов составила 463,3 млн. рублей.</w:t>
      </w:r>
    </w:p>
    <w:p w:rsidR="00CE61F1" w:rsidRPr="00CE61F1" w:rsidRDefault="00425496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предварительным данным, 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составят в объёме 166 230,9 млн. рублей.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занятость</w:t>
      </w:r>
    </w:p>
    <w:p w:rsidR="00CE61F1" w:rsidRPr="00CE61F1" w:rsidRDefault="00CE61F1" w:rsidP="009C66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Среднесписочная численность работающих в районе в 2</w:t>
      </w:r>
      <w:r w:rsidR="00425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020 году составила 20,899 тыс. </w:t>
      </w:r>
      <w:r w:rsidRPr="00CE6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человек, что выше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значения показателя </w:t>
      </w:r>
      <w:r w:rsidRPr="00CE6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Стратегии за 2020 год на 17,4 % (17,790 тыс. человек).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показатель превысил плановое целевое значение, установленное Стратегией до 2030 года на 2,4 тыс.</w:t>
      </w:r>
      <w:r w:rsidR="0042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или 112,9 % (18,500 тыс. человек). 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Центра занятости населения численность безработных граждан, состоящих на регистрационном учете, на 1 января 2021 года составила 488 человек, </w:t>
      </w:r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что выше целевого значения показателя Стратегии на 80,7% (270 человек). 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2021 года уровень регистрируемой безработицы повысился до 2,38 % (на 1 января 2020 года – 1,18 %), в связи с приростом численности безработных граждан.</w:t>
      </w:r>
    </w:p>
    <w:p w:rsidR="00CE61F1" w:rsidRPr="00CE61F1" w:rsidRDefault="00425496" w:rsidP="009C66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ч</w:t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безработны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 состоянию на 18.11.2021 – </w:t>
      </w:r>
      <w:r w:rsidR="00CE61F1"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человек, уровень безработицы – 0,41%. По итогам 2021 года данный показатель снизит численность безработных граждан, улучшив плановое целевое значение, установленное Стратегией до 2030 года на 30 чел. (110 человек). 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Малый бизнес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малого и среднего предпринимательства является одним из наиболее значимых направлений деятельности органов муниципальной власти всех уровней в рамках решения вопросов социально-экономического развития Ханты-Мансийского района и смягчения социальных проблем.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Предприятиями нефтегазодобывающего комплекса производится 96% от объемов всей продукции в экономике района, поэтому в Стратегии социально-экономического развития района до 2020-2030 годов выбран курс на диверсификацию производственной модели района через развитие малого предпринимательства и, в частности, в сфере агропромышленного комплекса.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Малое предпринимательство в условиях села играет важную роль в социально-экономическом развитии района.</w:t>
      </w:r>
    </w:p>
    <w:p w:rsidR="00CE61F1" w:rsidRPr="00CE61F1" w:rsidRDefault="00CE61F1" w:rsidP="009C66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Согласно сведениям единого реестра субъектов малого и среднего предпринимательства Федеральной налоговой службы количество субъектов малого и среднего предпринимательства на территории Ханты-Мансийского района по состоянию на 1 января 2021 года составило 384 единицы, </w:t>
      </w:r>
      <w:r w:rsidRPr="00CE6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выше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значения показателя </w:t>
      </w:r>
      <w:r w:rsidRPr="00CE6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Стратегии за 2020 год на 260 единиц (124 единиц).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показатель превысил плановое целевое значение, установленное Стратегией до 2030 года  в 2,4 раза (157 единиц). 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E61F1" w:rsidRPr="00CE61F1" w:rsidRDefault="00CE61F1" w:rsidP="004254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61F1">
        <w:rPr>
          <w:rFonts w:ascii="Times New Roman" w:eastAsia="Calibri" w:hAnsi="Times New Roman" w:cs="Times New Roman"/>
          <w:sz w:val="28"/>
          <w:szCs w:val="28"/>
          <w:lang w:eastAsia="zh-CN"/>
        </w:rPr>
        <w:t>Структура субъектов малого и среднего предпринимательства:</w:t>
      </w:r>
    </w:p>
    <w:p w:rsidR="00CE61F1" w:rsidRPr="00CE61F1" w:rsidRDefault="00CE61F1" w:rsidP="009C66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  <w:r w:rsidRPr="00CE61F1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5385A29" wp14:editId="1DE7BA7A">
            <wp:extent cx="5247861" cy="265573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61F1" w:rsidRPr="00CE61F1" w:rsidRDefault="00425496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: п</w:t>
      </w:r>
      <w:r w:rsidR="00CE61F1"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состоянию на 10.11.2021 число субъектов малого </w:t>
      </w:r>
      <w:r w:rsidR="00CE61F1" w:rsidRPr="00CE61F1">
        <w:rPr>
          <w:rFonts w:ascii="Times New Roman" w:eastAsia="Calibri" w:hAnsi="Times New Roman" w:cs="Times New Roman"/>
          <w:sz w:val="28"/>
          <w:szCs w:val="28"/>
          <w:lang w:eastAsia="zh-CN"/>
        </w:rPr>
        <w:t>и среднего предпринимательства на территории Ханты-Мансийского района составило</w:t>
      </w:r>
      <w:r w:rsidR="00CE61F1" w:rsidRPr="00CE61F1"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CE61F1" w:rsidRPr="00CE61F1">
        <w:rPr>
          <w:rFonts w:ascii="Times New Roman" w:eastAsia="Calibri" w:hAnsi="Times New Roman" w:cs="Times New Roman"/>
          <w:sz w:val="28"/>
          <w:szCs w:val="28"/>
          <w:lang w:eastAsia="zh-CN"/>
        </w:rPr>
        <w:t>393 единицы.</w:t>
      </w:r>
    </w:p>
    <w:p w:rsidR="00325BB1" w:rsidRDefault="00325BB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zh-CN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Транспорт</w:t>
      </w:r>
    </w:p>
    <w:p w:rsidR="00CE61F1" w:rsidRPr="00CE61F1" w:rsidRDefault="00CE61F1" w:rsidP="009C6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Транспортная инфраструктура является важнейшей жизнеобеспечивающей системой, неразрывно связанной с нуждами населения района, работой предприятий и организаций промышленности, топливно-энергетического комплекса, сельского хозяйства и социальной сферы.</w:t>
      </w:r>
    </w:p>
    <w:p w:rsidR="00CE61F1" w:rsidRPr="00CE61F1" w:rsidRDefault="00CE61F1" w:rsidP="009C66A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Транспортный комплекс района представлен практически всеми видами транспорта, при этом наибольший удельный вес в связи с особым географическим </w:t>
      </w:r>
      <w:r w:rsidRPr="00CE61F1">
        <w:rPr>
          <w:rFonts w:ascii="Times New Roman" w:eastAsia="Calibri" w:hAnsi="Times New Roman" w:cs="Times New Roman"/>
          <w:sz w:val="28"/>
          <w:szCs w:val="28"/>
        </w:rPr>
        <w:lastRenderedPageBreak/>
        <w:t>расположением района имеет водный транспорт, который в период весенне-летней навигации обеспечивает доставку различных грузов и более 70% пассажирских перевозок.</w:t>
      </w:r>
    </w:p>
    <w:p w:rsidR="00CE61F1" w:rsidRPr="00CE61F1" w:rsidRDefault="00CE61F1" w:rsidP="009C66A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введением режима повышенной готовности, связанного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предотвращением завоза и распространения новой </w:t>
      </w:r>
      <w:proofErr w:type="spellStart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Ханты-Мансийского автономного округа – Югры, и ограничением количества рейсов воздушным транспортом, по итогам 2020 года перевезено 4 028 пассажиров, что на 71,2 % меньше уровня 2019 года</w:t>
      </w:r>
      <w:r w:rsidRPr="00CE61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(5 651 пассажир).</w:t>
      </w:r>
      <w:r w:rsidRPr="00CE61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E61F1" w:rsidRPr="00CE61F1" w:rsidRDefault="00CE61F1" w:rsidP="009C66A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Речным транспортом за 2020 год перевезено 103 314 пассажиров, что на 89,7 % меньше уровня 2019 года (115 086 пассажиров).</w:t>
      </w:r>
    </w:p>
    <w:p w:rsidR="00CE61F1" w:rsidRPr="00CE61F1" w:rsidRDefault="00CE61F1" w:rsidP="009C66A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Круглогодичное сообщение автомобильным транспортом осуществляется с населенными пунктами Шапша, Ярки, </w:t>
      </w:r>
      <w:proofErr w:type="spellStart"/>
      <w:r w:rsidRPr="00CE61F1">
        <w:rPr>
          <w:rFonts w:ascii="Times New Roman" w:eastAsia="Calibri" w:hAnsi="Times New Roman" w:cs="Times New Roman"/>
          <w:sz w:val="28"/>
          <w:szCs w:val="28"/>
        </w:rPr>
        <w:t>Ягурьях</w:t>
      </w:r>
      <w:proofErr w:type="spellEnd"/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E61F1">
        <w:rPr>
          <w:rFonts w:ascii="Times New Roman" w:eastAsia="Calibri" w:hAnsi="Times New Roman" w:cs="Times New Roman"/>
          <w:sz w:val="28"/>
          <w:szCs w:val="28"/>
        </w:rPr>
        <w:t>Батово</w:t>
      </w:r>
      <w:proofErr w:type="spellEnd"/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E61F1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, Бобровский. Существует проезд автомобильным транспортом до </w:t>
      </w:r>
      <w:proofErr w:type="spellStart"/>
      <w:r w:rsidRPr="00CE61F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E61F1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CE61F1">
        <w:rPr>
          <w:rFonts w:ascii="Times New Roman" w:eastAsia="Calibri" w:hAnsi="Times New Roman" w:cs="Times New Roman"/>
          <w:sz w:val="28"/>
          <w:szCs w:val="28"/>
        </w:rPr>
        <w:t>елиярово</w:t>
      </w:r>
      <w:proofErr w:type="spellEnd"/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 по промысловым автодорогам ОО РН- «</w:t>
      </w:r>
      <w:proofErr w:type="spellStart"/>
      <w:r w:rsidRPr="00CE61F1">
        <w:rPr>
          <w:rFonts w:ascii="Times New Roman" w:eastAsia="Calibri" w:hAnsi="Times New Roman" w:cs="Times New Roman"/>
          <w:sz w:val="28"/>
          <w:szCs w:val="28"/>
        </w:rPr>
        <w:t>Юганскнефтегаз</w:t>
      </w:r>
      <w:proofErr w:type="spellEnd"/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CE61F1" w:rsidRPr="00CE61F1" w:rsidRDefault="00CE61F1" w:rsidP="009C66A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автомобильным транспортом на территории Ханты-Мансийского района перевезено</w:t>
      </w:r>
      <w:r w:rsidRPr="00CE61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44048 человек (2019 год – 55 729 человек). Пассажиропоток снизился на 20,93 % по сравнению с 2019 годом. 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автомобильных дорог в районе по со</w:t>
      </w:r>
      <w:r w:rsidR="0042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стоянию на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2021 года составила 616,5 км, </w:t>
      </w:r>
      <w:r w:rsidR="0042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дорог федерального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– 106,6 км (17,3%), регионального значения – 295,4 км (47,9%) и муниципального значения – 214,5 км (34,8%).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Целевое значение протяженности автомобильных дорог общего пользования (местного значения) – 206,2 км. 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E61F1" w:rsidRPr="00CE61F1" w:rsidRDefault="00CE61F1" w:rsidP="00A93E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99D28" wp14:editId="663EE244">
            <wp:extent cx="4442604" cy="2613803"/>
            <wp:effectExtent l="0" t="0" r="1524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E61F1" w:rsidRDefault="00CE61F1" w:rsidP="009C6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Для обеспечения транспортной доступности поселений, не имеющих круглогодичной связи по автомобильным дорогам, ежегодно осуществляется оборудование и содержание зимних автомобильных дорог и ледовых переправ общего пользования. Ежегодно </w:t>
      </w:r>
      <w:proofErr w:type="gramStart"/>
      <w:r w:rsidRPr="00CE61F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E61F1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 районе строится 433,7 км зимних автомобильных дорог и 7,2 км ледовых переправ через магистральные реки </w:t>
      </w:r>
      <w:proofErr w:type="spellStart"/>
      <w:r w:rsidRPr="00CE61F1">
        <w:rPr>
          <w:rFonts w:ascii="Times New Roman" w:eastAsia="Calibri" w:hAnsi="Times New Roman" w:cs="Times New Roman"/>
          <w:sz w:val="28"/>
          <w:szCs w:val="28"/>
        </w:rPr>
        <w:t>Конда</w:t>
      </w:r>
      <w:proofErr w:type="spellEnd"/>
      <w:r w:rsidRPr="00CE61F1">
        <w:rPr>
          <w:rFonts w:ascii="Times New Roman" w:eastAsia="Calibri" w:hAnsi="Times New Roman" w:cs="Times New Roman"/>
          <w:sz w:val="28"/>
          <w:szCs w:val="28"/>
        </w:rPr>
        <w:t>, Иртыш, Обь.</w:t>
      </w:r>
    </w:p>
    <w:p w:rsidR="00425496" w:rsidRPr="00CE61F1" w:rsidRDefault="00425496" w:rsidP="009C6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1F1" w:rsidRPr="00CE61F1" w:rsidRDefault="00CE61F1" w:rsidP="009C6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61F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Экология</w:t>
      </w:r>
    </w:p>
    <w:p w:rsidR="00CE61F1" w:rsidRPr="00CE61F1" w:rsidRDefault="00CE61F1" w:rsidP="009C6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Ханты-Мансийского района испытывает существенную нагрузку на окружающую среду, связанную с природными особенностями территории, с деятельностью предприятий нефтяной промышленности, объектов жилищно-коммунального комплекса. </w:t>
      </w:r>
    </w:p>
    <w:p w:rsidR="00CE61F1" w:rsidRPr="00CE61F1" w:rsidRDefault="00CE61F1" w:rsidP="00425496">
      <w:pPr>
        <w:tabs>
          <w:tab w:val="left" w:pos="851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в сфере охраны окружающей среды </w:t>
      </w:r>
      <w:proofErr w:type="gramStart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является постоянный мониторинг состояния экологической ситуации, реализация комплекса природоохранных мероприятий, направленных на сохранение уникальных природно-ландшафтных комплексов – объектов культурного наследия Ханты-Мансийского района и ХМАО-Югры.</w:t>
      </w:r>
    </w:p>
    <w:p w:rsidR="00CE61F1" w:rsidRPr="00CE61F1" w:rsidRDefault="00CE61F1" w:rsidP="009C66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E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данным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 w:rsidRPr="00CE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 выбросов вредных веществ в атмосферный воздух от стационарных источников загрязнения в 2020 году на территории Ханты-Мансийского района составил 99,9 тыс. тонн, что ниже целевого</w:t>
      </w:r>
      <w:r w:rsidR="00A93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значения показателя Стратегии </w:t>
      </w:r>
      <w:r w:rsidRPr="00CE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2020 год на 18,8 % (123 тыс. тонн). </w:t>
      </w:r>
      <w:proofErr w:type="gramEnd"/>
    </w:p>
    <w:p w:rsidR="00CE61F1" w:rsidRPr="00CE61F1" w:rsidRDefault="00CE61F1" w:rsidP="009C66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показатель превысил плановое целевое значение, установленное Стратегией до 2</w:t>
      </w:r>
      <w:r w:rsidR="00A93E68">
        <w:rPr>
          <w:rFonts w:ascii="Times New Roman" w:eastAsia="Times New Roman" w:hAnsi="Times New Roman" w:cs="Times New Roman"/>
          <w:sz w:val="28"/>
          <w:szCs w:val="28"/>
          <w:lang w:eastAsia="ru-RU"/>
        </w:rPr>
        <w:t>030 года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3% (103 тыс.</w:t>
      </w:r>
      <w:r w:rsidR="00A9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тонн). </w:t>
      </w:r>
    </w:p>
    <w:p w:rsidR="00CE61F1" w:rsidRPr="00CE61F1" w:rsidRDefault="00CE61F1" w:rsidP="009C66AB">
      <w:pPr>
        <w:tabs>
          <w:tab w:val="left" w:pos="851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504641263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1"/>
    </w:p>
    <w:p w:rsidR="00CE61F1" w:rsidRPr="00CE61F1" w:rsidRDefault="00CE61F1" w:rsidP="009C66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Целевой блок 2 «Развитие человеческого капитала и социальной сферы»</w:t>
      </w:r>
    </w:p>
    <w:p w:rsidR="00CE61F1" w:rsidRPr="00CE61F1" w:rsidRDefault="00CE61F1" w:rsidP="009C66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Демографические показатели</w:t>
      </w:r>
    </w:p>
    <w:p w:rsidR="00CE61F1" w:rsidRPr="00CE61F1" w:rsidRDefault="00CE61F1" w:rsidP="009C66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формировании демографических процессов района играет миграционное движение населения. Отличительной чертой миграционных процессов </w:t>
      </w:r>
      <w:proofErr w:type="gramStart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стало доминирование экономической миграции, важнейшей составляющей которой выступает миграция рабочей силы (временная трудовая миграция). Основной отраслью экономики района, в которой привлекаются трудовые мигранты, является нефтедобывающая отрасль.</w:t>
      </w:r>
    </w:p>
    <w:p w:rsidR="00CE61F1" w:rsidRPr="00CE61F1" w:rsidRDefault="00CE61F1" w:rsidP="009C66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61F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57B49A2" wp14:editId="35C49A27">
            <wp:extent cx="4563374" cy="2260121"/>
            <wp:effectExtent l="0" t="0" r="889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прибывших за 2020 год составило 650 человек (2019 год – 821 человек), число выбывших за 2020 год составило 817 человек (2019 год – 987 человек). </w:t>
      </w:r>
      <w:r w:rsidRPr="00CE61F1">
        <w:rPr>
          <w:rFonts w:ascii="Times New Roman" w:eastAsia="Calibri" w:hAnsi="Times New Roman" w:cs="Times New Roman"/>
          <w:sz w:val="28"/>
          <w:szCs w:val="28"/>
        </w:rPr>
        <w:t>По итогам 2020 года сложилась миграционная убыль населения 167 человек.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1F1" w:rsidRPr="00CE61F1" w:rsidRDefault="00CE61F1" w:rsidP="009C6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1F1">
        <w:rPr>
          <w:rFonts w:ascii="Times New Roman" w:eastAsia="Times New Roman" w:hAnsi="Times New Roman" w:cs="Times New Roman"/>
          <w:sz w:val="24"/>
          <w:szCs w:val="24"/>
        </w:rPr>
        <w:lastRenderedPageBreak/>
        <w:t>Естественный прирост населения (чел.)</w:t>
      </w:r>
    </w:p>
    <w:p w:rsidR="00CE61F1" w:rsidRPr="00CE61F1" w:rsidRDefault="00CE61F1" w:rsidP="00A93E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1F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525A9CE3" wp14:editId="79419EAE">
            <wp:extent cx="4451230" cy="238951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в районе родилось 194 малыша (2019 год – 174 человек). Количество смертей в 2020 году составило 223, что на 26 случаев больше аналогичного периода 2019 года (145 случаев).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Естественная убыль населения за 2020 год составила 29 человек. 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по состоянию на 1 января 2021 года </w:t>
      </w:r>
      <w:r w:rsidRPr="00A9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19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604 человек (1 января 2020 года – 19 807 человека). 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района составила 19 706 человек, что ниже целевого</w:t>
      </w:r>
      <w:r w:rsidR="00A9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показателя Стратегии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4,2% (20 580 человек). 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жизни 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жизни является одной из важнейших социально-экономических категорий, благоприятной тенденцией которой, является рост уровня заработной платы.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Pr="00CE61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реднемесячная начисленная заработная плата одного работающего в организациях (без субъектов малого предпринимательства) за 2020 год составила 88 507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1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 или 106,6% к аналогичному периоду 2019 года (83 059 рублей).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E61F1">
        <w:rPr>
          <w:rFonts w:ascii="Times New Roman" w:eastAsia="Calibri" w:hAnsi="Times New Roman" w:cs="Times New Roman"/>
          <w:snapToGrid w:val="0"/>
          <w:sz w:val="28"/>
          <w:szCs w:val="28"/>
        </w:rPr>
        <w:t>Среднемесячная заработная плата рассчитывается по всем отраслям экономики района. Наибольшая средняя заработная плата сложилась в отрасли «Добыча полезных ископаемых», её уровень, по отдельным видам деятельности, достигает 98 199 рублей.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E61F1">
        <w:rPr>
          <w:rFonts w:ascii="Times New Roman" w:eastAsia="Calibri" w:hAnsi="Times New Roman" w:cs="Times New Roman"/>
          <w:bCs/>
          <w:sz w:val="20"/>
          <w:szCs w:val="20"/>
        </w:rPr>
        <w:t>Средняя заработная плата по отдельным видам экономической деятельности в 2020 году (руб.)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57180D4" wp14:editId="4E683C87">
            <wp:extent cx="5469147" cy="210484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61F1" w:rsidRPr="00CE61F1" w:rsidRDefault="00CE61F1" w:rsidP="009C66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Среднедушевые денежные доходы населения Ханты-Мансийского района за 2020 год составили 90 253,4 рублей или 103,1 % к аналогичному показателю за 2019 год (87 536,14 рубля). </w:t>
      </w:r>
    </w:p>
    <w:p w:rsidR="00CE61F1" w:rsidRPr="00CE61F1" w:rsidRDefault="00CE61F1" w:rsidP="009C66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располагаемые денежные доходы на душу населения (доходы за вычетом обязательных платежей, скорректированные на индекс потребительских цен) составили 99,2 % (2019 год – 99,1%).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Пенсии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По данным администраций сельских поселений Ханты-Мансийского района численность пенсионеров составила 4 994 человек.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61F1" w:rsidRPr="00CE61F1" w:rsidRDefault="00CE61F1" w:rsidP="00A93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E61F1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FE6D605" wp14:editId="25AD4287">
            <wp:extent cx="5940425" cy="2310664"/>
            <wp:effectExtent l="0" t="0" r="31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Среднемесячный размер назначенных пенсий за 2020 год составил</w:t>
      </w:r>
      <w:r w:rsidR="00A93E68">
        <w:rPr>
          <w:rFonts w:ascii="Times New Roman" w:eastAsia="Calibri" w:hAnsi="Times New Roman" w:cs="Times New Roman"/>
          <w:sz w:val="28"/>
          <w:szCs w:val="28"/>
        </w:rPr>
        <w:t xml:space="preserve"> 22 878,2 </w:t>
      </w:r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рублей, что в 1,7 раза превышает бюджет прожиточного минимума для пенсионеров (13 236 рублей). Рост среднемесячного размера пенсии </w:t>
      </w:r>
      <w:r w:rsidRPr="00CE61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аналогичному показателю 2019 года 105,1% (21 769,72 рублей). 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Средний размер пенсий по возрасту составил 24 361,24 рублей, по инвалидности – 15 546,05 рублей, по случаю потери кормильца – 10 637,08  рубля.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>Жилищный фонд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За 2020 год на территории Ханты-Мансийского района введено в эксплуатацию 12,9 тыс. кв. м. жилья (целевое значение в Стратегии 2030 – 9,7 кв. метров).</w:t>
      </w:r>
    </w:p>
    <w:p w:rsidR="00CE61F1" w:rsidRPr="00CE61F1" w:rsidRDefault="00CE61F1" w:rsidP="009C6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Из общего </w:t>
      </w:r>
      <w:proofErr w:type="gramStart"/>
      <w:r w:rsidRPr="00CE61F1">
        <w:rPr>
          <w:rFonts w:ascii="Times New Roman" w:eastAsia="Calibri" w:hAnsi="Times New Roman" w:cs="Times New Roman"/>
          <w:sz w:val="28"/>
          <w:szCs w:val="28"/>
        </w:rPr>
        <w:t>количества</w:t>
      </w:r>
      <w:proofErr w:type="gramEnd"/>
      <w:r w:rsidRPr="00CE61F1">
        <w:rPr>
          <w:rFonts w:ascii="Times New Roman" w:eastAsia="Calibri" w:hAnsi="Times New Roman" w:cs="Times New Roman"/>
          <w:sz w:val="28"/>
          <w:szCs w:val="28"/>
        </w:rPr>
        <w:t xml:space="preserve"> введённого в эксплуатацию жилья индивидуальное жилищное строительство составляет 11,4 тыс. кв. м. или 88,4 % в общем объеме.</w:t>
      </w:r>
    </w:p>
    <w:p w:rsidR="00CE61F1" w:rsidRPr="00A93E68" w:rsidRDefault="00A93E68" w:rsidP="009C66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з</w:t>
      </w:r>
      <w:r w:rsidR="00CE61F1" w:rsidRPr="00A93E68">
        <w:rPr>
          <w:rFonts w:ascii="Times New Roman" w:eastAsia="Calibri" w:hAnsi="Times New Roman" w:cs="Times New Roman"/>
          <w:sz w:val="28"/>
          <w:szCs w:val="28"/>
        </w:rPr>
        <w:t xml:space="preserve">а 10 месяцев 2021 года введено в эксплуатацию 11,8 тыс. кв. м. жилья, или 98,6% от плана, в том числе 10,3 тыс. кв. м.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E61F1" w:rsidRPr="00A93E68">
        <w:rPr>
          <w:rFonts w:ascii="Times New Roman" w:eastAsia="Calibri" w:hAnsi="Times New Roman" w:cs="Times New Roman"/>
          <w:sz w:val="28"/>
          <w:szCs w:val="28"/>
        </w:rPr>
        <w:t>индивидуальное жилищное строительство.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Образование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сфера Ханты-Мансийского района – динамично развивающаяся система, функционирование которой строится по принципу подчинения объективным потребностям экономики и населения района. 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Стратегическая цель долгосрочного развития Ханты-Мансийского района – обеспечить сохранение его роли в экономике, как необходимой основы для повышения качества жизни, благосостояния, формирования установки на постоянное проживание в районе современных и будущих жителей. Образование в этом контексте признается ключевым ресурсом инновационного развития района.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E61F1">
        <w:rPr>
          <w:rFonts w:ascii="Arial" w:eastAsia="Times New Roman" w:hAnsi="Arial" w:cs="Arial"/>
          <w:noProof/>
          <w:color w:val="FF0000"/>
          <w:sz w:val="24"/>
          <w:szCs w:val="24"/>
          <w:lang w:eastAsia="ru-RU"/>
        </w:rPr>
        <w:drawing>
          <wp:inline distT="0" distB="0" distL="0" distR="0" wp14:anchorId="02DDFE2D" wp14:editId="196CC29E">
            <wp:extent cx="5940425" cy="2610093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По итогам 2020 года достигнуты целевые значения показателей, предусмотренных Стратегией в 2020 году: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доля обучающихся в муниципальных общеобразовательных организациях, занимающихся в одну смену, в общей численности, обучающихся муниципальных общеобразовательных организациях – 100 % (целевое значение показателя– 100 %);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доля воспитанников дошкольных образовательных организаций в общей численности детей от 1- 6 лет – 60,1% (целевое значение показателя – 59,6%).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2021 года на территории Ханты-Мансийского района функционирует 50 учреждений культуры, из них 25 учреждений клубного типа, 24 библиотеки и 1 муниципальное учреждение дополнительного образования «Детская музыкальная школа».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F1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учреждениями культуры (библиотеки, сельские клубы) – 100 %. 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</w:rPr>
        <w:t xml:space="preserve">Задачей органов местного самоуправления Ханты-Мансийского района в сфере культуры является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социальной роли культуры, обеспечение систематического роста культурного потенциала, обогащение на его основе духовной и интеллектуальной жизни населения.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Задачей в сфере молодежной политики является создание условий для развития творческого потенциала молодежи, вовлечение молодых людей в социальную активную деятельность, стимулирование социально значимых инициатив путем создания условий для развития детских и молодежных общественных организаций; создание условий для развития гражданских, военно-патриотических качеств молодежи. 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Физическая культура и спорт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Задачей в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физической культуры и спорта является </w:t>
      </w:r>
      <w:r w:rsidRPr="00CE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вовлечение широких слоев населения в активное занятие физической культурой и спортом для полноценного физического и духовного развития, пропаганды здорового образа жизни.</w:t>
      </w:r>
    </w:p>
    <w:p w:rsidR="00CE61F1" w:rsidRPr="00CE61F1" w:rsidRDefault="00CE61F1" w:rsidP="009C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F1">
        <w:rPr>
          <w:rFonts w:ascii="Times New Roman" w:eastAsia="Calibri" w:hAnsi="Times New Roman" w:cs="Times New Roman"/>
          <w:sz w:val="28"/>
          <w:szCs w:val="28"/>
        </w:rPr>
        <w:t>По итогам 2020 года достигнуты целевые значения показател</w:t>
      </w:r>
      <w:r w:rsidR="00A93E68">
        <w:rPr>
          <w:rFonts w:ascii="Times New Roman" w:eastAsia="Calibri" w:hAnsi="Times New Roman" w:cs="Times New Roman"/>
          <w:sz w:val="28"/>
          <w:szCs w:val="28"/>
        </w:rPr>
        <w:t xml:space="preserve">ей, предусмотренных Стратегией </w:t>
      </w:r>
      <w:r w:rsidRPr="00CE61F1">
        <w:rPr>
          <w:rFonts w:ascii="Times New Roman" w:eastAsia="Calibri" w:hAnsi="Times New Roman" w:cs="Times New Roman"/>
          <w:sz w:val="28"/>
          <w:szCs w:val="28"/>
        </w:rPr>
        <w:t>в 2020 году:</w:t>
      </w:r>
    </w:p>
    <w:p w:rsidR="00CE61F1" w:rsidRPr="00CE61F1" w:rsidRDefault="00CE61F1" w:rsidP="009C66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населения, систематически занимающегося физкультурой и спортом, в общей численности населения – 45,1 % (</w:t>
      </w:r>
      <w:r w:rsidRPr="00CE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целевой показатель Стратегии 2030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38,5 %). Данный показатель, достиг плановое целевое значение, устано</w:t>
      </w:r>
      <w:r w:rsidR="00A93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вленное Стратегией до 2030 года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(45%). </w:t>
      </w:r>
    </w:p>
    <w:p w:rsidR="00CE61F1" w:rsidRPr="00CE61F1" w:rsidRDefault="00CE61F1" w:rsidP="009C66A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лиц, систематически занимающегося физической культурой и спортом в 2020 году сос</w:t>
      </w:r>
      <w:r w:rsidR="00A9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тавила 8 514 человек, что выше </w:t>
      </w:r>
      <w:r w:rsidRPr="00CE6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плановое значения показателя на 7,5% (план – 7 920 человек)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D77" w:rsidRDefault="00160D77" w:rsidP="009C66AB">
      <w:pPr>
        <w:spacing w:after="0" w:line="240" w:lineRule="auto"/>
        <w:jc w:val="both"/>
      </w:pPr>
    </w:p>
    <w:p w:rsidR="00CE61F1" w:rsidRDefault="00CE61F1" w:rsidP="009C66AB">
      <w:pPr>
        <w:spacing w:after="0" w:line="240" w:lineRule="auto"/>
        <w:jc w:val="both"/>
      </w:pPr>
    </w:p>
    <w:p w:rsidR="00CE61F1" w:rsidRDefault="00CE61F1" w:rsidP="009C66AB">
      <w:pPr>
        <w:spacing w:after="0" w:line="240" w:lineRule="auto"/>
        <w:jc w:val="both"/>
      </w:pPr>
    </w:p>
    <w:p w:rsidR="00CE61F1" w:rsidRDefault="00CE61F1" w:rsidP="009C66AB">
      <w:pPr>
        <w:spacing w:after="0" w:line="240" w:lineRule="auto"/>
        <w:jc w:val="both"/>
      </w:pPr>
    </w:p>
    <w:p w:rsidR="00CE61F1" w:rsidRDefault="00CE61F1" w:rsidP="009C66AB">
      <w:pPr>
        <w:spacing w:after="0" w:line="240" w:lineRule="auto"/>
        <w:jc w:val="both"/>
      </w:pPr>
    </w:p>
    <w:p w:rsidR="00CE61F1" w:rsidRDefault="00CE61F1" w:rsidP="009C66AB">
      <w:pPr>
        <w:spacing w:after="0" w:line="240" w:lineRule="auto"/>
        <w:jc w:val="both"/>
      </w:pPr>
    </w:p>
    <w:p w:rsid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CE61F1" w:rsidSect="009C66AB">
          <w:footerReference w:type="default" r:id="rId14"/>
          <w:type w:val="continuous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E61F1" w:rsidRPr="00CE61F1" w:rsidRDefault="00952822" w:rsidP="009C6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CE61F1" w:rsidRPr="00CE61F1" w:rsidRDefault="00A93E68" w:rsidP="009C66A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CE0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E01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Стратегии</w:t>
      </w:r>
    </w:p>
    <w:p w:rsidR="00CE61F1" w:rsidRPr="00CE61F1" w:rsidRDefault="00CE61F1" w:rsidP="009C66A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социально-экономического развития</w:t>
      </w:r>
    </w:p>
    <w:p w:rsidR="00CE61F1" w:rsidRPr="00CE61F1" w:rsidRDefault="00A93E68" w:rsidP="009C6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Ханты-Мансийского района</w:t>
      </w:r>
    </w:p>
    <w:p w:rsid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61F1">
        <w:rPr>
          <w:rFonts w:ascii="Times New Roman" w:eastAsia="Calibri" w:hAnsi="Times New Roman" w:cs="Times New Roman"/>
          <w:color w:val="000000"/>
          <w:sz w:val="28"/>
          <w:szCs w:val="28"/>
        </w:rPr>
        <w:t>до 2030 года в 2020 году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1F1">
        <w:rPr>
          <w:rFonts w:ascii="Times New Roman" w:eastAsia="Calibri" w:hAnsi="Times New Roman" w:cs="Times New Roman"/>
          <w:sz w:val="24"/>
          <w:szCs w:val="24"/>
        </w:rPr>
        <w:t xml:space="preserve">Целевые показатели, на достижение которых направлены мероприятия по реализации Стратегии социально-экономического </w:t>
      </w:r>
    </w:p>
    <w:p w:rsid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1F1">
        <w:rPr>
          <w:rFonts w:ascii="Times New Roman" w:eastAsia="Calibri" w:hAnsi="Times New Roman" w:cs="Times New Roman"/>
          <w:sz w:val="24"/>
          <w:szCs w:val="24"/>
        </w:rPr>
        <w:t>развития Ханты-Мансийского района до 2030 года за 2020 год</w:t>
      </w:r>
    </w:p>
    <w:p w:rsidR="00CE61F1" w:rsidRPr="00CE61F1" w:rsidRDefault="00CE61F1" w:rsidP="009C6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3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5670"/>
        <w:gridCol w:w="1275"/>
        <w:gridCol w:w="1701"/>
        <w:gridCol w:w="1838"/>
        <w:gridCol w:w="1281"/>
        <w:gridCol w:w="1276"/>
        <w:gridCol w:w="1417"/>
      </w:tblGrid>
      <w:tr w:rsidR="00CE61F1" w:rsidRPr="00CE61F1" w:rsidTr="003441FE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Calibri" w:hAnsi="Times New Roman" w:cs="Times New Roman"/>
                <w:sz w:val="24"/>
                <w:szCs w:val="24"/>
              </w:rPr>
              <w:t>Целевое значение показателя (план)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1F1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1F1">
              <w:rPr>
                <w:rFonts w:ascii="Times New Roman" w:eastAsia="Calibri" w:hAnsi="Times New Roman" w:cs="Times New Roman"/>
                <w:sz w:val="24"/>
                <w:szCs w:val="24"/>
              </w:rPr>
              <w:t>Целевое значение показателя 2030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1F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2020 года достигшие плановые значения 2030 года, % достижения</w:t>
            </w: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Целевой блок 1 «Устойчивое развитие экономики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376 474,8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412 201,9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994 109,9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372 175,5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407 112,3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F1" w:rsidRPr="00CE61F1" w:rsidRDefault="00CE61F1" w:rsidP="009C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986 755,6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1 606,9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F1" w:rsidRPr="00CE61F1" w:rsidRDefault="00CE61F1" w:rsidP="009C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2 626,6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2 185,6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экономической деятельности «Строительство»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1 956,1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7 005,7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и услуги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 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162 731,9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155 194,1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389 844,6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и занятость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(по организациям, не относящимся к субъектам МП)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20,889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112</w:t>
            </w: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Малый бизнес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малых и средних предприятий, включая </w:t>
            </w:r>
            <w:proofErr w:type="spellStart"/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</w:t>
            </w: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(местного значения)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 (местного значения)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Выбросы загрязняющих веществ в атмосферный воздух от стационарных источников **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CE61F1" w:rsidRPr="00CE61F1" w:rsidTr="003441FE">
        <w:trPr>
          <w:trHeight w:val="18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Целевой блок 2 «Развитие человеческого капитала и </w:t>
            </w: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социальной сферы»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(среднегодовая)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 прирост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Жилищный фонд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м²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м²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12,894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ветхого и аварийного жилищного фонда в общей площади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E61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7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воспитанников дошкольных образовательных организаций в общей численности детей от 1-6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25BB1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государственных (муниципальных)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E61F1" w:rsidRPr="00CE61F1" w:rsidTr="00325BB1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25BB1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населения: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25BB1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Врачами всех специальностей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325BB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</w:t>
            </w: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медицинским персоналом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325BB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124,1</w:t>
            </w: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учреждениями культуры: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Межпоселенческие</w:t>
            </w:r>
            <w:proofErr w:type="spellEnd"/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 библиотеки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культурно-досугового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систематически занимающихся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4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CE61F1" w:rsidRPr="00CE61F1" w:rsidRDefault="00CE61F1" w:rsidP="009C66A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61F1" w:rsidRPr="00CE61F1" w:rsidRDefault="00CE61F1" w:rsidP="009C6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12242" w:type="dxa"/>
            <w:gridSpan w:val="6"/>
            <w:shd w:val="clear" w:color="auto" w:fill="auto"/>
            <w:noWrap/>
          </w:tcPr>
          <w:p w:rsidR="00CE61F1" w:rsidRPr="00CE61F1" w:rsidRDefault="00CE61F1" w:rsidP="009C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 данным Росстата информация отсутствует в связи с отсутствием на территории Ханты-Мансийского района кру</w:t>
            </w:r>
            <w:r w:rsidR="0079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пных и средних</w:t>
            </w: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в сфере общественного питания</w:t>
            </w:r>
          </w:p>
        </w:tc>
        <w:tc>
          <w:tcPr>
            <w:tcW w:w="1276" w:type="dxa"/>
          </w:tcPr>
          <w:p w:rsidR="00CE61F1" w:rsidRPr="00CE61F1" w:rsidRDefault="00CE61F1" w:rsidP="009C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E61F1" w:rsidRPr="00CE61F1" w:rsidRDefault="00CE61F1" w:rsidP="009C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1F1" w:rsidRPr="00CE61F1" w:rsidTr="003441FE">
        <w:trPr>
          <w:trHeight w:val="20"/>
        </w:trPr>
        <w:tc>
          <w:tcPr>
            <w:tcW w:w="12242" w:type="dxa"/>
            <w:gridSpan w:val="6"/>
            <w:shd w:val="clear" w:color="auto" w:fill="auto"/>
            <w:noWrap/>
          </w:tcPr>
          <w:p w:rsidR="00CE61F1" w:rsidRPr="00CE61F1" w:rsidRDefault="00CE61F1" w:rsidP="009C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информация по данным 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  <w:tc>
          <w:tcPr>
            <w:tcW w:w="1276" w:type="dxa"/>
          </w:tcPr>
          <w:p w:rsidR="00CE61F1" w:rsidRPr="00CE61F1" w:rsidRDefault="00CE61F1" w:rsidP="009C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E61F1" w:rsidRPr="00CE61F1" w:rsidRDefault="00CE61F1" w:rsidP="009C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1F1" w:rsidRDefault="00CE61F1" w:rsidP="009C66AB">
      <w:pPr>
        <w:spacing w:after="0" w:line="240" w:lineRule="auto"/>
        <w:jc w:val="both"/>
      </w:pPr>
    </w:p>
    <w:sectPr w:rsidR="00CE61F1" w:rsidSect="009C66AB">
      <w:type w:val="continuous"/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7D" w:rsidRDefault="00DB217D" w:rsidP="00CE61F1">
      <w:pPr>
        <w:spacing w:after="0" w:line="240" w:lineRule="auto"/>
      </w:pPr>
      <w:r>
        <w:separator/>
      </w:r>
    </w:p>
  </w:endnote>
  <w:endnote w:type="continuationSeparator" w:id="0">
    <w:p w:rsidR="00DB217D" w:rsidRDefault="00DB217D" w:rsidP="00CE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8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3CB9" w:rsidRPr="00AB3CB9" w:rsidRDefault="00AB3CB9" w:rsidP="00AB3CB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3C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3C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3C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6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3C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7D" w:rsidRDefault="00DB217D" w:rsidP="00CE61F1">
      <w:pPr>
        <w:spacing w:after="0" w:line="240" w:lineRule="auto"/>
      </w:pPr>
      <w:r>
        <w:separator/>
      </w:r>
    </w:p>
  </w:footnote>
  <w:footnote w:type="continuationSeparator" w:id="0">
    <w:p w:rsidR="00DB217D" w:rsidRDefault="00DB217D" w:rsidP="00CE6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36"/>
    <w:rsid w:val="000C6D12"/>
    <w:rsid w:val="00104EB9"/>
    <w:rsid w:val="00160D77"/>
    <w:rsid w:val="00325BB1"/>
    <w:rsid w:val="003441FE"/>
    <w:rsid w:val="00425496"/>
    <w:rsid w:val="00465416"/>
    <w:rsid w:val="007426DA"/>
    <w:rsid w:val="00792913"/>
    <w:rsid w:val="007B395A"/>
    <w:rsid w:val="007B396F"/>
    <w:rsid w:val="00952822"/>
    <w:rsid w:val="009C66AB"/>
    <w:rsid w:val="00A93E68"/>
    <w:rsid w:val="00AB3CB9"/>
    <w:rsid w:val="00CE018E"/>
    <w:rsid w:val="00CE61F1"/>
    <w:rsid w:val="00DB217D"/>
    <w:rsid w:val="00DC2436"/>
    <w:rsid w:val="00E016F1"/>
    <w:rsid w:val="00F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F1"/>
  </w:style>
  <w:style w:type="paragraph" w:styleId="a7">
    <w:name w:val="footer"/>
    <w:basedOn w:val="a"/>
    <w:link w:val="a8"/>
    <w:uiPriority w:val="99"/>
    <w:unhideWhenUsed/>
    <w:rsid w:val="00CE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F1"/>
  </w:style>
  <w:style w:type="paragraph" w:styleId="a7">
    <w:name w:val="footer"/>
    <w:basedOn w:val="a"/>
    <w:link w:val="a8"/>
    <w:uiPriority w:val="99"/>
    <w:unhideWhenUsed/>
    <w:rsid w:val="00CE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20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736218090705962E-3"/>
          <c:y val="0.14835236655020773"/>
          <c:w val="0.82127618663051738"/>
          <c:h val="0.729785608482108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6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13629697376757124"/>
                  <c:y val="0.18791781821974241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/>
                      <a:t>индивидуальные предприниматели - 293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606458975236792"/>
                      <c:h val="0.2032519944907876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2110055208616165"/>
                  <c:y val="-0.247423823677669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микро предприятия </a:t>
                    </a:r>
                  </a:p>
                  <a:p>
                    <a:r>
                      <a:rPr lang="ru-RU"/>
                      <a:t>86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550724637681157"/>
                      <c:h val="0.2475247524752475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2103462566271775"/>
                  <c:y val="-1.21305035546053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малые предприятия</a:t>
                    </a:r>
                    <a:r>
                      <a:rPr lang="ru-RU" baseline="0"/>
                      <a:t> - 4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820289855072464"/>
                      <c:h val="0.1881188118811881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1.3645626420109464E-2"/>
                  <c:y val="-0.131927830213276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средние предприятия</a:t>
                    </a:r>
                    <a:r>
                      <a:rPr lang="ru-RU" baseline="0"/>
                      <a:t> -</a:t>
                    </a:r>
                    <a:r>
                      <a:rPr lang="ru-RU"/>
                      <a:t>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33333333333332"/>
                      <c:h val="0.2475247524752475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индивидуальные предприниматели</c:v>
                </c:pt>
                <c:pt idx="1">
                  <c:v>микро предприятия</c:v>
                </c:pt>
                <c:pt idx="2">
                  <c:v>малые предприятия</c:v>
                </c:pt>
                <c:pt idx="3">
                  <c:v>средние предприятия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293</c:v>
                </c:pt>
                <c:pt idx="1">
                  <c:v>86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Дороги с твердым покрытием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147E-3"/>
                  <c:y val="0.18713450292397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Дороги с твердым покрытием</a:t>
                    </a:r>
                  </a:p>
                  <a:p>
                    <a:r>
                      <a:rPr lang="ru-RU"/>
                      <a:t> 490,8 км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85185185185185"/>
                      <c:h val="0.225079365079365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Грунтовые дороги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888888888888888E-2"/>
                  <c:y val="1.4619883040935644E-2"/>
                </c:manualLayout>
              </c:layout>
              <c:tx>
                <c:rich>
                  <a:bodyPr rot="0" vert="horz"/>
                  <a:lstStyle/>
                  <a:p>
                    <a:pPr>
                      <a:defRPr sz="1000" b="0"/>
                    </a:pPr>
                    <a:r>
                      <a:rPr lang="ru-RU" sz="1000" b="0"/>
                      <a:t>Грунтовые</a:t>
                    </a:r>
                    <a:r>
                      <a:rPr lang="ru-RU" sz="1000" b="0" baseline="0"/>
                      <a:t> дороги -</a:t>
                    </a:r>
                  </a:p>
                  <a:p>
                    <a:pPr>
                      <a:defRPr sz="1000" b="0"/>
                    </a:pPr>
                    <a:r>
                      <a:rPr lang="ru-RU" sz="1000" b="0" baseline="0"/>
                      <a:t> </a:t>
                    </a:r>
                    <a:r>
                      <a:rPr lang="ru-RU" sz="1000" b="0"/>
                      <a:t>125,7</a:t>
                    </a:r>
                  </a:p>
                  <a:p>
                    <a:pPr>
                      <a:defRPr sz="1000" b="0"/>
                    </a:pPr>
                    <a:r>
                      <a:rPr lang="ru-RU" sz="1000" b="0"/>
                      <a:t> км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19792578011082"/>
                      <c:h val="0.3191812865497075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131328"/>
        <c:axId val="291976832"/>
      </c:barChart>
      <c:catAx>
        <c:axId val="2921313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91976832"/>
        <c:crosses val="autoZero"/>
        <c:auto val="1"/>
        <c:lblAlgn val="ctr"/>
        <c:lblOffset val="100"/>
        <c:noMultiLvlLbl val="0"/>
      </c:catAx>
      <c:valAx>
        <c:axId val="29197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9213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 b="0" baseline="0"/>
            </a:pPr>
            <a:r>
              <a:rPr lang="ru-RU" sz="1200" b="0" baseline="0" dirty="0" smtClean="0"/>
              <a:t>Миграционный прирост  (отток)</a:t>
            </a:r>
            <a:endParaRPr lang="ru-RU" sz="1200" b="0" baseline="0" dirty="0"/>
          </a:p>
        </c:rich>
      </c:tx>
      <c:layout>
        <c:manualLayout>
          <c:xMode val="edge"/>
          <c:yMode val="edge"/>
          <c:x val="0.29957271706476402"/>
          <c:y val="2.6662249837093085E-3"/>
        </c:manualLayout>
      </c:layout>
      <c:overlay val="0"/>
      <c:spPr>
        <a:noFill/>
        <a:ln w="2251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638101023316667"/>
          <c:y val="0.1522460861322753"/>
          <c:w val="0.7106741573033899"/>
          <c:h val="0.74481327800830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отгруженных товаров собственного производства, выполненных работ и услуг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  <a:ln w="22510">
              <a:noFill/>
            </a:ln>
            <a:scene3d>
              <a:camera prst="orthographicFront"/>
              <a:lightRig rig="threePt" dir="t"/>
            </a:scene3d>
            <a:sp3d prstMaterial="matte">
              <a:bevelT/>
            </a:sp3d>
          </c:spPr>
          <c:invertIfNegative val="0"/>
          <c:dLbls>
            <c:dLbl>
              <c:idx val="0"/>
              <c:layout>
                <c:manualLayout>
                  <c:x val="-3.3698552630315253E-7"/>
                  <c:y val="-2.7669856582355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1.568882437101977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2.2138684038270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" sourceLinked="0"/>
            <c:spPr>
              <a:noFill/>
              <a:ln w="22510">
                <a:noFill/>
              </a:ln>
            </c:spPr>
            <c:txPr>
              <a:bodyPr/>
              <a:lstStyle/>
              <a:p>
                <a:pPr>
                  <a:defRPr sz="1200" b="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-166</c:v>
                </c:pt>
                <c:pt idx="1">
                  <c:v>-167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8"/>
        <c:axId val="263825408"/>
        <c:axId val="291973952"/>
      </c:barChart>
      <c:catAx>
        <c:axId val="26382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1973952"/>
        <c:crosses val="autoZero"/>
        <c:auto val="1"/>
        <c:lblAlgn val="ctr"/>
        <c:lblOffset val="100"/>
        <c:noMultiLvlLbl val="0"/>
      </c:catAx>
      <c:valAx>
        <c:axId val="291973952"/>
        <c:scaling>
          <c:orientation val="minMax"/>
          <c:max val="150"/>
          <c:min val="-2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6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0" dirty="0" smtClean="0"/>
                  <a:t>человек</a:t>
                </a:r>
                <a:endParaRPr lang="ru-RU" b="0" dirty="0"/>
              </a:p>
            </c:rich>
          </c:tx>
          <c:overlay val="0"/>
          <c:spPr>
            <a:noFill/>
            <a:ln w="22510">
              <a:noFill/>
            </a:ln>
          </c:spPr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63825408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63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588235950820252E-2"/>
          <c:y val="5.9884140696005235E-2"/>
          <c:w val="0.87588253126119076"/>
          <c:h val="0.72168023272147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1810700295217273E-3"/>
                  <c:y val="2.3889899499450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9971643909875317E-17"/>
                  <c:y val="1.84971456621027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0.379811814042482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1810700295216874E-3"/>
                  <c:y val="2.3889899499450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31043918247550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2244542346078929E-3"/>
                  <c:y val="0.164101568952331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197</c:v>
                </c:pt>
                <c:pt idx="1">
                  <c:v>223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826944"/>
        <c:axId val="155762688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498743508125314E-2"/>
                  <c:y val="-6.349208776087454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-23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250315381424661E-2"/>
                  <c:y val="-7.249815472709116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-29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666666666666755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351851851851853E-2"/>
                  <c:y val="-5.9523809523809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-23</c:v>
                </c:pt>
                <c:pt idx="1">
                  <c:v>-29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826944"/>
        <c:axId val="155762688"/>
      </c:lineChart>
      <c:catAx>
        <c:axId val="26382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5762688"/>
        <c:crosses val="autoZero"/>
        <c:auto val="1"/>
        <c:lblAlgn val="ctr"/>
        <c:lblOffset val="100"/>
        <c:noMultiLvlLbl val="0"/>
      </c:catAx>
      <c:valAx>
        <c:axId val="155762688"/>
        <c:scaling>
          <c:orientation val="minMax"/>
          <c:max val="4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263826944"/>
        <c:crosses val="autoZero"/>
        <c:crossBetween val="between"/>
      </c:valAx>
      <c:spPr>
        <a:ln>
          <a:noFill/>
        </a:ln>
      </c:spPr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6827615237468025"/>
          <c:y val="0.24292514550531835"/>
          <c:w val="0.27995342466218454"/>
          <c:h val="0.59770901586397196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8100">
              <a:solidFill>
                <a:srgbClr val="C00000"/>
              </a:solidFill>
            </a:ln>
          </c:spPr>
          <c:marker>
            <c:symbol val="diamond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5.8197159926899285E-2"/>
                  <c:y val="5.087392467108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3287788994984754E-2"/>
                  <c:y val="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97183247893768E-2"/>
                  <c:y val="-4.3412901463026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540118470651588E-3"/>
                  <c:y val="1.261829652996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848142164781866E-2"/>
                  <c:y val="1.261829652996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добыча сырой нефти и природного газа</c:v>
                </c:pt>
                <c:pt idx="1">
                  <c:v>обрабатывающие производства
</c:v>
                </c:pt>
                <c:pt idx="2">
                  <c:v>строительство</c:v>
                </c:pt>
                <c:pt idx="3">
                  <c:v>образование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деятельность в области культуры, спорта, организации досуга и развлечений</c:v>
                </c:pt>
              </c:strCache>
            </c:strRef>
          </c:cat>
          <c:val>
            <c:numRef>
              <c:f>Лист1!$B$2:$B$7</c:f>
              <c:numCache>
                <c:formatCode>_(* #,##0_);_(* \(#,##0\);_(* "-"_);_(@_)</c:formatCode>
                <c:ptCount val="6"/>
                <c:pt idx="0">
                  <c:v>98199</c:v>
                </c:pt>
                <c:pt idx="1">
                  <c:v>85795</c:v>
                </c:pt>
                <c:pt idx="2">
                  <c:v>86648</c:v>
                </c:pt>
                <c:pt idx="3">
                  <c:v>58625</c:v>
                </c:pt>
                <c:pt idx="4">
                  <c:v>56311</c:v>
                </c:pt>
                <c:pt idx="5">
                  <c:v>63033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9157632"/>
        <c:axId val="155764416"/>
      </c:radarChart>
      <c:catAx>
        <c:axId val="289157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5764416"/>
        <c:crosses val="autoZero"/>
        <c:auto val="1"/>
        <c:lblAlgn val="ctr"/>
        <c:lblOffset val="100"/>
        <c:noMultiLvlLbl val="0"/>
      </c:catAx>
      <c:valAx>
        <c:axId val="155764416"/>
        <c:scaling>
          <c:orientation val="minMax"/>
        </c:scaling>
        <c:delete val="1"/>
        <c:axPos val="l"/>
        <c:majorGridlines>
          <c:spPr>
            <a:ln>
              <a:prstDash val="sysDot"/>
            </a:ln>
          </c:spPr>
        </c:majorGridlines>
        <c:numFmt formatCode="_(* #,##0_);_(* \(#,##0\);_(* &quot;-&quot;_);_(@_)" sourceLinked="1"/>
        <c:majorTickMark val="cross"/>
        <c:minorTickMark val="none"/>
        <c:tickLblPos val="nextTo"/>
        <c:crossAx val="2891576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sz="1200" b="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пенсионеров</a:t>
            </a:r>
            <a:endParaRPr lang="ru-RU" sz="12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9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337740986545575E-2"/>
          <c:y val="8.4588746087882513E-2"/>
          <c:w val="0.83431952662721898"/>
          <c:h val="0.567241594800649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9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7.8672689952217517E-2"/>
                  <c:y val="3.3595601847846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9043159545885162E-2"/>
                  <c:y val="-0.11476941670950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работающие пенсионеры</c:v>
                </c:pt>
                <c:pt idx="1">
                  <c:v>неработающие пенсионеры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1370</c:v>
                </c:pt>
                <c:pt idx="1">
                  <c:v>3624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626162853903621"/>
          <c:y val="0.80929321334833448"/>
          <c:w val="0.63564242339530452"/>
          <c:h val="8.27404821819952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Число  общеобразовательных учреждений - всего 38 единицы, в том числе:</a:t>
            </a:r>
          </a:p>
        </c:rich>
      </c:tx>
      <c:layout>
        <c:manualLayout>
          <c:xMode val="edge"/>
          <c:yMode val="edge"/>
          <c:x val="0.153023420149404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511999111444684E-2"/>
          <c:y val="0.19088598109033494"/>
          <c:w val="0.59111290238838676"/>
          <c:h val="0.643689224542183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дневных общеобразовательных учреждений - всего 24 единицы, в том числе: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средние (полные) школы</c:v>
                </c:pt>
                <c:pt idx="1">
                  <c:v>учреждение дополнительного образования</c:v>
                </c:pt>
                <c:pt idx="2">
                  <c:v>детские дошкольные учреждения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73500633372191"/>
          <c:y val="0.14772649769143822"/>
          <c:w val="0.2461475892697064"/>
          <c:h val="0.72575282104335503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Горень Т.Н.</dc:creator>
  <cp:keywords/>
  <dc:description/>
  <cp:lastModifiedBy>Халикова Светлана</cp:lastModifiedBy>
  <cp:revision>14</cp:revision>
  <cp:lastPrinted>2021-12-24T09:51:00Z</cp:lastPrinted>
  <dcterms:created xsi:type="dcterms:W3CDTF">2021-12-07T04:55:00Z</dcterms:created>
  <dcterms:modified xsi:type="dcterms:W3CDTF">2021-12-24T12:09:00Z</dcterms:modified>
</cp:coreProperties>
</file>